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3D537D" w:rsidRPr="003D537D">
        <w:rPr>
          <w:rFonts w:ascii="Times New Roman" w:hAnsi="Times New Roman"/>
          <w:b/>
          <w:sz w:val="24"/>
          <w:szCs w:val="24"/>
        </w:rPr>
        <w:t>«Валютные операции и современная валютная система»</w:t>
      </w:r>
    </w:p>
    <w:p w:rsidR="005F12D9" w:rsidRDefault="005F12D9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537D" w:rsidRDefault="003D537D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537D" w:rsidRDefault="003D537D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537D" w:rsidRDefault="003D537D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537D" w:rsidRDefault="003D537D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537D" w:rsidRPr="00CA711B" w:rsidRDefault="003D537D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B42A6D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</w:t>
      </w:r>
      <w:r w:rsidRPr="003B0F16">
        <w:rPr>
          <w:rFonts w:ascii="Times New Roman" w:hAnsi="Times New Roman"/>
          <w:sz w:val="24"/>
          <w:szCs w:val="24"/>
        </w:rPr>
        <w:lastRenderedPageBreak/>
        <w:t>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получение информации для выбора тематики и более успешного выполнения </w:t>
      </w:r>
      <w:r w:rsidRPr="003B0F16">
        <w:rPr>
          <w:rFonts w:ascii="Times New Roman" w:hAnsi="Times New Roman"/>
          <w:sz w:val="24"/>
          <w:szCs w:val="24"/>
        </w:rPr>
        <w:lastRenderedPageBreak/>
        <w:t>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1. </w:t>
      </w:r>
      <w:r w:rsidRPr="003D537D">
        <w:rPr>
          <w:rFonts w:ascii="Times New Roman" w:hAnsi="Times New Roman"/>
          <w:sz w:val="24"/>
          <w:szCs w:val="24"/>
          <w:lang w:eastAsia="en-US"/>
        </w:rPr>
        <w:t>Особенности функционирования валютного рынка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2. </w:t>
      </w:r>
      <w:r w:rsidRPr="003D537D">
        <w:rPr>
          <w:rFonts w:ascii="Times New Roman" w:hAnsi="Times New Roman"/>
          <w:sz w:val="24"/>
          <w:szCs w:val="24"/>
          <w:lang w:eastAsia="en-US"/>
        </w:rPr>
        <w:t>Особенности проведения валютных операций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>СЗ 3.</w:t>
      </w:r>
      <w:r w:rsidRPr="003D537D">
        <w:rPr>
          <w:rFonts w:ascii="Times New Roman" w:hAnsi="Times New Roman"/>
          <w:sz w:val="24"/>
          <w:szCs w:val="24"/>
          <w:lang w:eastAsia="en-US"/>
        </w:rPr>
        <w:t xml:space="preserve"> Рассмотреть становление и текущее состояние разных мировых валютных систем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>СЗ 4.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3D537D">
        <w:rPr>
          <w:rFonts w:ascii="Times New Roman" w:hAnsi="Times New Roman"/>
          <w:sz w:val="24"/>
          <w:szCs w:val="24"/>
          <w:lang w:eastAsia="en-US"/>
        </w:rPr>
        <w:t>Текущее состояние мировой валютной системы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>СЗ 5.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3D537D">
        <w:rPr>
          <w:rFonts w:ascii="Times New Roman" w:hAnsi="Times New Roman"/>
          <w:sz w:val="24"/>
          <w:szCs w:val="24"/>
          <w:lang w:eastAsia="en-US"/>
        </w:rPr>
        <w:t>Раскрыть особенности типов валютных систем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6.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Определить особенности функционированиНациональной валютной системы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7.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Анализ структуры биржевого валютного рынка РК.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ab/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8.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Деятельность обменных пунктов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9,10.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Валютное таргетирование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СЗ 11,</w:t>
      </w: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12. </w:t>
      </w:r>
      <w:r w:rsidR="004D22A2">
        <w:rPr>
          <w:rFonts w:ascii="Times New Roman" w:hAnsi="Times New Roman"/>
          <w:sz w:val="24"/>
          <w:szCs w:val="24"/>
          <w:lang w:val="kk-KZ" w:eastAsia="en-US"/>
        </w:rPr>
        <w:t>Анализ валютной системы евро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зоны. Кризисы на валютных рынках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13.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Фундаментальный анализ.</w:t>
      </w:r>
      <w:r w:rsidRPr="003D537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Технический анализ</w:t>
      </w:r>
    </w:p>
    <w:p w:rsidR="003D537D" w:rsidRPr="003D537D" w:rsidRDefault="003D537D" w:rsidP="003D537D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14.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Фундаментальный анализ.</w:t>
      </w:r>
      <w:r w:rsidRPr="003D537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Технический анализ</w:t>
      </w:r>
    </w:p>
    <w:p w:rsidR="003D537D" w:rsidRPr="003D537D" w:rsidRDefault="003D537D" w:rsidP="003D537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D537D">
        <w:rPr>
          <w:rFonts w:ascii="Times New Roman" w:hAnsi="Times New Roman"/>
          <w:b/>
          <w:sz w:val="24"/>
          <w:szCs w:val="24"/>
          <w:lang w:eastAsia="en-US"/>
        </w:rPr>
        <w:t xml:space="preserve">СЗ 15. </w:t>
      </w:r>
      <w:r w:rsidRPr="003D537D">
        <w:rPr>
          <w:rFonts w:ascii="Times New Roman" w:hAnsi="Times New Roman"/>
          <w:sz w:val="24"/>
          <w:szCs w:val="24"/>
          <w:lang w:val="kk-KZ" w:eastAsia="en-US"/>
        </w:rPr>
        <w:t>Структура золотовалютных резервов РК. Управление активами НБРК</w:t>
      </w:r>
    </w:p>
    <w:p w:rsidR="00092B8D" w:rsidRPr="00CE5002" w:rsidRDefault="00092B8D" w:rsidP="00E929B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92B8D" w:rsidRPr="00CE5002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92B8D"/>
    <w:rsid w:val="00135CA1"/>
    <w:rsid w:val="001C0F9E"/>
    <w:rsid w:val="001C7A8B"/>
    <w:rsid w:val="002A5675"/>
    <w:rsid w:val="002B1B72"/>
    <w:rsid w:val="002B46E3"/>
    <w:rsid w:val="002F5A7C"/>
    <w:rsid w:val="00300AF6"/>
    <w:rsid w:val="00383376"/>
    <w:rsid w:val="003B0F16"/>
    <w:rsid w:val="003D537D"/>
    <w:rsid w:val="003E47C8"/>
    <w:rsid w:val="003F0BEE"/>
    <w:rsid w:val="00400B56"/>
    <w:rsid w:val="00407F42"/>
    <w:rsid w:val="00415165"/>
    <w:rsid w:val="0043529B"/>
    <w:rsid w:val="00460EE9"/>
    <w:rsid w:val="004D22A2"/>
    <w:rsid w:val="00504C4B"/>
    <w:rsid w:val="005224DF"/>
    <w:rsid w:val="005820EC"/>
    <w:rsid w:val="00591F2C"/>
    <w:rsid w:val="005C5ED6"/>
    <w:rsid w:val="005F12D9"/>
    <w:rsid w:val="006162DC"/>
    <w:rsid w:val="006645B5"/>
    <w:rsid w:val="006B404C"/>
    <w:rsid w:val="007361C9"/>
    <w:rsid w:val="00746603"/>
    <w:rsid w:val="0078592B"/>
    <w:rsid w:val="007D77A0"/>
    <w:rsid w:val="007E2A10"/>
    <w:rsid w:val="00837950"/>
    <w:rsid w:val="00843EF2"/>
    <w:rsid w:val="00A41EB1"/>
    <w:rsid w:val="00A468A7"/>
    <w:rsid w:val="00AD2724"/>
    <w:rsid w:val="00B11161"/>
    <w:rsid w:val="00B249D4"/>
    <w:rsid w:val="00B42A6D"/>
    <w:rsid w:val="00BC1517"/>
    <w:rsid w:val="00C338A9"/>
    <w:rsid w:val="00C82EC1"/>
    <w:rsid w:val="00CE5002"/>
    <w:rsid w:val="00E34CE0"/>
    <w:rsid w:val="00E929B5"/>
    <w:rsid w:val="00EC2ADA"/>
    <w:rsid w:val="00F65604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811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3D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71</cp:revision>
  <dcterms:created xsi:type="dcterms:W3CDTF">2014-12-15T07:04:00Z</dcterms:created>
  <dcterms:modified xsi:type="dcterms:W3CDTF">2024-10-12T07:00:00Z</dcterms:modified>
</cp:coreProperties>
</file>